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58" w:rsidRPr="00277858" w:rsidRDefault="00277858" w:rsidP="00277858">
      <w:pPr>
        <w:pStyle w:val="NoSpacing"/>
        <w:jc w:val="center"/>
        <w:rPr>
          <w:b/>
        </w:rPr>
      </w:pPr>
      <w:r w:rsidRPr="00277858">
        <w:rPr>
          <w:b/>
        </w:rPr>
        <w:t>Livestock Carcass Management Program</w:t>
      </w:r>
    </w:p>
    <w:p w:rsidR="00277858" w:rsidRPr="00277858" w:rsidRDefault="00277858" w:rsidP="00277858">
      <w:pPr>
        <w:pStyle w:val="NoSpacing"/>
        <w:jc w:val="center"/>
      </w:pPr>
      <w:r w:rsidRPr="00277858">
        <w:t xml:space="preserve">Progress Report for </w:t>
      </w:r>
      <w:r>
        <w:t>Ju</w:t>
      </w:r>
      <w:r w:rsidR="003B42A4">
        <w:t>ly</w:t>
      </w:r>
      <w:r>
        <w:t xml:space="preserve"> 2013</w:t>
      </w:r>
    </w:p>
    <w:p w:rsidR="00EC433F" w:rsidRDefault="00277858" w:rsidP="00277858">
      <w:pPr>
        <w:pStyle w:val="NoSpacing"/>
        <w:jc w:val="center"/>
      </w:pPr>
      <w:r w:rsidRPr="00277858">
        <w:t xml:space="preserve">Dusty </w:t>
      </w:r>
      <w:proofErr w:type="spellStart"/>
      <w:r w:rsidRPr="00277858">
        <w:t>Lasseter</w:t>
      </w:r>
      <w:proofErr w:type="spellEnd"/>
      <w:r w:rsidRPr="00277858">
        <w:t>, Wyoming Game and Fish Department</w:t>
      </w:r>
    </w:p>
    <w:p w:rsidR="00277858" w:rsidRDefault="00277858" w:rsidP="00277858">
      <w:pPr>
        <w:pStyle w:val="NoSpacing"/>
        <w:jc w:val="center"/>
      </w:pPr>
    </w:p>
    <w:p w:rsidR="00277858" w:rsidRDefault="00277858" w:rsidP="00277858">
      <w:pPr>
        <w:rPr>
          <w:szCs w:val="20"/>
        </w:rPr>
      </w:pPr>
      <w:r>
        <w:rPr>
          <w:b/>
          <w:bCs/>
        </w:rPr>
        <w:t>Program Description:</w:t>
      </w:r>
      <w:r>
        <w:t xml:space="preserve">  The Carcass </w:t>
      </w:r>
      <w:r>
        <w:rPr>
          <w:szCs w:val="20"/>
        </w:rPr>
        <w:t>Management Program (CMP) was started in June of 2008 with the purpose of removing livestock carcasses from private agricultural lands in order to minimize conflicts with grizzly bears and promote human safety.</w:t>
      </w:r>
    </w:p>
    <w:p w:rsidR="00277858" w:rsidRDefault="00277858" w:rsidP="00277858">
      <w:pPr>
        <w:pStyle w:val="NoSpacing"/>
      </w:pPr>
    </w:p>
    <w:p w:rsidR="00277858" w:rsidRDefault="00277858" w:rsidP="00277858">
      <w:pPr>
        <w:pStyle w:val="NoSpacing"/>
      </w:pPr>
      <w:r w:rsidRPr="00BE4BE0">
        <w:rPr>
          <w:b/>
        </w:rPr>
        <w:t>Progress:</w:t>
      </w:r>
      <w:r>
        <w:rPr>
          <w:b/>
        </w:rPr>
        <w:t xml:space="preserve">  </w:t>
      </w:r>
      <w:r>
        <w:t>From July 1, 2012 to June 30, 2013</w:t>
      </w:r>
      <w:r w:rsidR="0065470C">
        <w:t xml:space="preserve"> (fiscal year)</w:t>
      </w:r>
      <w:r>
        <w:t xml:space="preserve"> there have been 218 carcasses (in </w:t>
      </w:r>
      <w:r w:rsidR="00B24BED">
        <w:t>112</w:t>
      </w:r>
      <w:r>
        <w:t xml:space="preserve"> trips) that have been retrieved from private ranch lands. Currently there are approximately 25-30 landowners participating in the CMP. The average monthly cost of the program for the last year was $</w:t>
      </w:r>
      <w:r w:rsidR="00B24BED">
        <w:t>1,343.08</w:t>
      </w:r>
      <w:r>
        <w:t xml:space="preserve"> giving an average cost per carcass $</w:t>
      </w:r>
      <w:r w:rsidR="00B24BED">
        <w:t>73.93</w:t>
      </w:r>
      <w:r>
        <w:t>. After the program started in 2008 there has been an increase of use and in early 2012 several new landowners have started utilizing the program</w:t>
      </w:r>
      <w:r w:rsidR="0065470C">
        <w:t xml:space="preserve"> which after seven months into 2013 we have already surpassed carcasses picked up in 2012 (Figure 1)</w:t>
      </w:r>
      <w:r>
        <w:t>.  Also, since the beginning of the CMP there have been several ranches close their carcass pits in order to reduce human-bear conflicts and in the last year several additional pits have been closed (see Figure 2.)</w:t>
      </w:r>
    </w:p>
    <w:p w:rsidR="00E4412F" w:rsidRDefault="00E4412F" w:rsidP="00277858">
      <w:pPr>
        <w:pStyle w:val="NoSpacing"/>
      </w:pPr>
    </w:p>
    <w:tbl>
      <w:tblPr>
        <w:tblpPr w:leftFromText="180" w:rightFromText="180" w:vertAnchor="text" w:horzAnchor="margin" w:tblpY="16"/>
        <w:tblOverlap w:val="never"/>
        <w:tblW w:w="3817" w:type="dxa"/>
        <w:tblLook w:val="04A0"/>
      </w:tblPr>
      <w:tblGrid>
        <w:gridCol w:w="2268"/>
        <w:gridCol w:w="1549"/>
      </w:tblGrid>
      <w:tr w:rsidR="00E4412F" w:rsidRPr="004376B6" w:rsidTr="00E4412F">
        <w:trPr>
          <w:trHeight w:val="305"/>
        </w:trPr>
        <w:tc>
          <w:tcPr>
            <w:tcW w:w="2268" w:type="dxa"/>
            <w:tcBorders>
              <w:top w:val="nil"/>
              <w:left w:val="nil"/>
              <w:bottom w:val="single" w:sz="12" w:space="0" w:color="FFFFFF"/>
              <w:right w:val="single" w:sz="4" w:space="0" w:color="FFFFFF"/>
            </w:tcBorders>
            <w:shd w:val="clear" w:color="4F81BD" w:fill="4F81BD"/>
            <w:noWrap/>
            <w:vAlign w:val="bottom"/>
            <w:hideMark/>
          </w:tcPr>
          <w:p w:rsidR="00E4412F" w:rsidRPr="004376B6" w:rsidRDefault="00E4412F" w:rsidP="007E370E">
            <w:pPr>
              <w:rPr>
                <w:rFonts w:ascii="Calibri" w:hAnsi="Calibri"/>
                <w:b/>
                <w:bCs/>
                <w:color w:val="FFFFFF"/>
              </w:rPr>
            </w:pPr>
            <w:r w:rsidRPr="004376B6">
              <w:rPr>
                <w:rFonts w:ascii="Calibri" w:hAnsi="Calibri"/>
                <w:b/>
                <w:bCs/>
                <w:color w:val="FFFFFF"/>
                <w:sz w:val="22"/>
                <w:szCs w:val="22"/>
              </w:rPr>
              <w:t>Month</w:t>
            </w:r>
          </w:p>
        </w:tc>
        <w:tc>
          <w:tcPr>
            <w:tcW w:w="1549" w:type="dxa"/>
            <w:tcBorders>
              <w:top w:val="nil"/>
              <w:left w:val="nil"/>
              <w:bottom w:val="single" w:sz="12" w:space="0" w:color="FFFFFF"/>
              <w:right w:val="nil"/>
            </w:tcBorders>
            <w:shd w:val="clear" w:color="4F81BD" w:fill="4F81BD"/>
            <w:noWrap/>
            <w:vAlign w:val="bottom"/>
            <w:hideMark/>
          </w:tcPr>
          <w:p w:rsidR="00E4412F" w:rsidRPr="004376B6" w:rsidRDefault="00E4412F" w:rsidP="007E370E">
            <w:pPr>
              <w:rPr>
                <w:rFonts w:ascii="Calibri" w:hAnsi="Calibri"/>
                <w:b/>
                <w:bCs/>
                <w:color w:val="FFFFFF"/>
              </w:rPr>
            </w:pPr>
            <w:r w:rsidRPr="004376B6">
              <w:rPr>
                <w:rFonts w:ascii="Calibri" w:hAnsi="Calibri"/>
                <w:b/>
                <w:bCs/>
                <w:color w:val="FFFFFF"/>
                <w:sz w:val="22"/>
                <w:szCs w:val="22"/>
              </w:rPr>
              <w:t>Amount</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B8CCE4" w:fill="B8CCE4"/>
            <w:noWrap/>
            <w:vAlign w:val="bottom"/>
            <w:hideMark/>
          </w:tcPr>
          <w:p w:rsidR="00E4412F" w:rsidRPr="004376B6" w:rsidRDefault="00E4412F" w:rsidP="007E370E">
            <w:pPr>
              <w:rPr>
                <w:rFonts w:ascii="Calibri" w:hAnsi="Calibri"/>
                <w:color w:val="000000"/>
              </w:rPr>
            </w:pPr>
            <w:r>
              <w:rPr>
                <w:rFonts w:ascii="Calibri" w:hAnsi="Calibri"/>
                <w:color w:val="000000"/>
                <w:sz w:val="22"/>
                <w:szCs w:val="22"/>
              </w:rPr>
              <w:t xml:space="preserve">  </w:t>
            </w:r>
            <w:r w:rsidRPr="004376B6">
              <w:rPr>
                <w:rFonts w:ascii="Calibri" w:hAnsi="Calibri"/>
                <w:color w:val="000000"/>
                <w:sz w:val="22"/>
                <w:szCs w:val="22"/>
              </w:rPr>
              <w:t>July</w:t>
            </w:r>
          </w:p>
        </w:tc>
        <w:tc>
          <w:tcPr>
            <w:tcW w:w="1549" w:type="dxa"/>
            <w:tcBorders>
              <w:top w:val="nil"/>
              <w:left w:val="nil"/>
              <w:bottom w:val="single" w:sz="4" w:space="0" w:color="FFFFFF"/>
              <w:right w:val="nil"/>
            </w:tcBorders>
            <w:shd w:val="clear" w:color="B8CCE4" w:fill="B8CCE4"/>
            <w:noWrap/>
            <w:vAlign w:val="bottom"/>
            <w:hideMark/>
          </w:tcPr>
          <w:p w:rsidR="00E4412F" w:rsidRPr="004376B6" w:rsidRDefault="00583DFC" w:rsidP="00E21BB6">
            <w:pPr>
              <w:rPr>
                <w:rFonts w:ascii="Calibri" w:hAnsi="Calibri"/>
                <w:color w:val="000000"/>
              </w:rPr>
            </w:pPr>
            <w:r>
              <w:rPr>
                <w:rFonts w:ascii="Calibri" w:hAnsi="Calibri"/>
                <w:color w:val="000000"/>
                <w:sz w:val="22"/>
                <w:szCs w:val="22"/>
              </w:rPr>
              <w:t xml:space="preserve"> $     </w:t>
            </w:r>
            <w:r w:rsidR="00E21BB6">
              <w:rPr>
                <w:rFonts w:ascii="Calibri" w:hAnsi="Calibri"/>
                <w:color w:val="000000"/>
                <w:sz w:val="22"/>
                <w:szCs w:val="22"/>
              </w:rPr>
              <w:t xml:space="preserve">   418.50</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DBE5F1" w:fill="DBE5F1"/>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August</w:t>
            </w:r>
          </w:p>
        </w:tc>
        <w:tc>
          <w:tcPr>
            <w:tcW w:w="1549" w:type="dxa"/>
            <w:tcBorders>
              <w:top w:val="nil"/>
              <w:left w:val="nil"/>
              <w:bottom w:val="single" w:sz="4" w:space="0" w:color="FFFFFF"/>
              <w:right w:val="nil"/>
            </w:tcBorders>
            <w:shd w:val="clear" w:color="DBE5F1" w:fill="DBE5F1"/>
            <w:noWrap/>
            <w:vAlign w:val="bottom"/>
            <w:hideMark/>
          </w:tcPr>
          <w:p w:rsidR="00E4412F" w:rsidRPr="004376B6" w:rsidRDefault="00E21BB6" w:rsidP="007E370E">
            <w:pPr>
              <w:rPr>
                <w:rFonts w:ascii="Calibri" w:hAnsi="Calibri"/>
                <w:color w:val="000000"/>
              </w:rPr>
            </w:pPr>
            <w:r>
              <w:rPr>
                <w:rFonts w:ascii="Calibri" w:hAnsi="Calibri"/>
                <w:color w:val="000000"/>
                <w:sz w:val="22"/>
                <w:szCs w:val="22"/>
              </w:rPr>
              <w:t xml:space="preserve"> $        594</w:t>
            </w:r>
            <w:r w:rsidR="00E4412F">
              <w:rPr>
                <w:rFonts w:ascii="Calibri" w:hAnsi="Calibri"/>
                <w:color w:val="000000"/>
                <w:sz w:val="22"/>
                <w:szCs w:val="22"/>
              </w:rPr>
              <w:t>.00</w:t>
            </w:r>
            <w:r w:rsidR="00E4412F" w:rsidRPr="004376B6">
              <w:rPr>
                <w:rFonts w:ascii="Calibri" w:hAnsi="Calibri"/>
                <w:color w:val="000000"/>
                <w:sz w:val="22"/>
                <w:szCs w:val="22"/>
              </w:rPr>
              <w:t xml:space="preserve"> </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B8CCE4" w:fill="B8CCE4"/>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September</w:t>
            </w:r>
          </w:p>
        </w:tc>
        <w:tc>
          <w:tcPr>
            <w:tcW w:w="1549" w:type="dxa"/>
            <w:tcBorders>
              <w:top w:val="nil"/>
              <w:left w:val="nil"/>
              <w:bottom w:val="single" w:sz="4" w:space="0" w:color="FFFFFF"/>
              <w:right w:val="nil"/>
            </w:tcBorders>
            <w:shd w:val="clear" w:color="B8CCE4" w:fill="B8CCE4"/>
            <w:noWrap/>
            <w:vAlign w:val="bottom"/>
            <w:hideMark/>
          </w:tcPr>
          <w:p w:rsidR="00E4412F" w:rsidRPr="004376B6" w:rsidRDefault="00B172A7" w:rsidP="007E370E">
            <w:pPr>
              <w:rPr>
                <w:rFonts w:ascii="Calibri" w:hAnsi="Calibri"/>
                <w:color w:val="000000"/>
              </w:rPr>
            </w:pPr>
            <w:r>
              <w:rPr>
                <w:rFonts w:ascii="Calibri" w:hAnsi="Calibri"/>
                <w:color w:val="000000"/>
                <w:sz w:val="22"/>
                <w:szCs w:val="22"/>
              </w:rPr>
              <w:t xml:space="preserve"> $    </w:t>
            </w:r>
            <w:r w:rsidR="00583DFC">
              <w:rPr>
                <w:rFonts w:ascii="Calibri" w:hAnsi="Calibri"/>
                <w:color w:val="000000"/>
                <w:sz w:val="22"/>
                <w:szCs w:val="22"/>
              </w:rPr>
              <w:t xml:space="preserve"> </w:t>
            </w:r>
            <w:r w:rsidR="00E21BB6">
              <w:rPr>
                <w:rFonts w:ascii="Calibri" w:hAnsi="Calibri"/>
                <w:color w:val="000000"/>
                <w:sz w:val="22"/>
                <w:szCs w:val="22"/>
              </w:rPr>
              <w:t xml:space="preserve">   918</w:t>
            </w:r>
            <w:r w:rsidR="00E4412F">
              <w:rPr>
                <w:rFonts w:ascii="Calibri" w:hAnsi="Calibri"/>
                <w:color w:val="000000"/>
                <w:sz w:val="22"/>
                <w:szCs w:val="22"/>
              </w:rPr>
              <w:t>.00</w:t>
            </w:r>
            <w:r w:rsidR="00E4412F" w:rsidRPr="004376B6">
              <w:rPr>
                <w:rFonts w:ascii="Calibri" w:hAnsi="Calibri"/>
                <w:color w:val="000000"/>
                <w:sz w:val="22"/>
                <w:szCs w:val="22"/>
              </w:rPr>
              <w:t xml:space="preserve"> </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DBE5F1" w:fill="DBE5F1"/>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October</w:t>
            </w:r>
          </w:p>
        </w:tc>
        <w:tc>
          <w:tcPr>
            <w:tcW w:w="1549" w:type="dxa"/>
            <w:tcBorders>
              <w:top w:val="nil"/>
              <w:left w:val="nil"/>
              <w:bottom w:val="single" w:sz="4" w:space="0" w:color="FFFFFF"/>
              <w:right w:val="nil"/>
            </w:tcBorders>
            <w:shd w:val="clear" w:color="DBE5F1" w:fill="DBE5F1"/>
            <w:noWrap/>
            <w:vAlign w:val="bottom"/>
            <w:hideMark/>
          </w:tcPr>
          <w:p w:rsidR="00E4412F" w:rsidRPr="004376B6" w:rsidRDefault="00E4412F" w:rsidP="00B172A7">
            <w:pPr>
              <w:rPr>
                <w:rFonts w:ascii="Calibri" w:hAnsi="Calibri"/>
                <w:color w:val="000000"/>
              </w:rPr>
            </w:pPr>
            <w:r>
              <w:rPr>
                <w:rFonts w:ascii="Calibri" w:hAnsi="Calibri"/>
                <w:color w:val="000000"/>
                <w:sz w:val="22"/>
                <w:szCs w:val="22"/>
              </w:rPr>
              <w:t xml:space="preserve"> $     </w:t>
            </w:r>
            <w:r w:rsidR="00E21BB6">
              <w:rPr>
                <w:rFonts w:ascii="Calibri" w:hAnsi="Calibri"/>
                <w:color w:val="000000"/>
                <w:sz w:val="22"/>
                <w:szCs w:val="22"/>
              </w:rPr>
              <w:t>1,228.5</w:t>
            </w:r>
            <w:r>
              <w:rPr>
                <w:rFonts w:ascii="Calibri" w:hAnsi="Calibri"/>
                <w:color w:val="000000"/>
                <w:sz w:val="22"/>
                <w:szCs w:val="22"/>
              </w:rPr>
              <w:t>0</w:t>
            </w:r>
            <w:r w:rsidRPr="004376B6">
              <w:rPr>
                <w:rFonts w:ascii="Calibri" w:hAnsi="Calibri"/>
                <w:color w:val="000000"/>
                <w:sz w:val="22"/>
                <w:szCs w:val="22"/>
              </w:rPr>
              <w:t xml:space="preserve"> </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B8CCE4" w:fill="B8CCE4"/>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November</w:t>
            </w:r>
          </w:p>
        </w:tc>
        <w:tc>
          <w:tcPr>
            <w:tcW w:w="1549" w:type="dxa"/>
            <w:tcBorders>
              <w:top w:val="nil"/>
              <w:left w:val="nil"/>
              <w:bottom w:val="single" w:sz="4" w:space="0" w:color="FFFFFF"/>
              <w:right w:val="nil"/>
            </w:tcBorders>
            <w:shd w:val="clear" w:color="B8CCE4" w:fill="B8CCE4"/>
            <w:noWrap/>
            <w:vAlign w:val="bottom"/>
            <w:hideMark/>
          </w:tcPr>
          <w:p w:rsidR="00E4412F" w:rsidRPr="004376B6" w:rsidRDefault="00B172A7" w:rsidP="00B172A7">
            <w:pPr>
              <w:rPr>
                <w:rFonts w:ascii="Calibri" w:hAnsi="Calibri"/>
                <w:color w:val="000000"/>
              </w:rPr>
            </w:pPr>
            <w:r>
              <w:rPr>
                <w:rFonts w:ascii="Calibri" w:hAnsi="Calibri"/>
                <w:color w:val="000000"/>
                <w:sz w:val="22"/>
                <w:szCs w:val="22"/>
              </w:rPr>
              <w:t xml:space="preserve"> $     </w:t>
            </w:r>
            <w:r w:rsidR="00E21BB6">
              <w:rPr>
                <w:rFonts w:ascii="Calibri" w:hAnsi="Calibri"/>
                <w:color w:val="000000"/>
                <w:sz w:val="22"/>
                <w:szCs w:val="22"/>
              </w:rPr>
              <w:t>2,268.0</w:t>
            </w:r>
            <w:r w:rsidR="00E4412F" w:rsidRPr="004376B6">
              <w:rPr>
                <w:rFonts w:ascii="Calibri" w:hAnsi="Calibri"/>
                <w:color w:val="000000"/>
                <w:sz w:val="22"/>
                <w:szCs w:val="22"/>
              </w:rPr>
              <w:t xml:space="preserve">0 </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DBE5F1" w:fill="DBE5F1"/>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December</w:t>
            </w:r>
          </w:p>
        </w:tc>
        <w:tc>
          <w:tcPr>
            <w:tcW w:w="1549" w:type="dxa"/>
            <w:tcBorders>
              <w:top w:val="nil"/>
              <w:left w:val="nil"/>
              <w:bottom w:val="single" w:sz="4" w:space="0" w:color="FFFFFF"/>
              <w:right w:val="nil"/>
            </w:tcBorders>
            <w:shd w:val="clear" w:color="DBE5F1" w:fill="DBE5F1"/>
            <w:noWrap/>
            <w:vAlign w:val="bottom"/>
            <w:hideMark/>
          </w:tcPr>
          <w:p w:rsidR="00E4412F" w:rsidRPr="004376B6" w:rsidRDefault="00E4412F" w:rsidP="007E370E">
            <w:pPr>
              <w:rPr>
                <w:rFonts w:ascii="Calibri" w:hAnsi="Calibri"/>
                <w:color w:val="000000"/>
              </w:rPr>
            </w:pPr>
            <w:r>
              <w:rPr>
                <w:rFonts w:ascii="Calibri" w:hAnsi="Calibri"/>
                <w:color w:val="000000"/>
                <w:sz w:val="22"/>
                <w:szCs w:val="22"/>
              </w:rPr>
              <w:t xml:space="preserve"> $    </w:t>
            </w:r>
            <w:r w:rsidR="00B172A7">
              <w:rPr>
                <w:rFonts w:ascii="Calibri" w:hAnsi="Calibri"/>
                <w:color w:val="000000"/>
                <w:sz w:val="22"/>
                <w:szCs w:val="22"/>
              </w:rPr>
              <w:t xml:space="preserve">    </w:t>
            </w:r>
            <w:r w:rsidR="00E21BB6">
              <w:rPr>
                <w:rFonts w:ascii="Calibri" w:hAnsi="Calibri"/>
                <w:color w:val="000000"/>
                <w:sz w:val="22"/>
                <w:szCs w:val="22"/>
              </w:rPr>
              <w:t>567</w:t>
            </w:r>
            <w:r w:rsidRPr="004376B6">
              <w:rPr>
                <w:rFonts w:ascii="Calibri" w:hAnsi="Calibri"/>
                <w:color w:val="000000"/>
                <w:sz w:val="22"/>
                <w:szCs w:val="22"/>
              </w:rPr>
              <w:t xml:space="preserve">.00 </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B8CCE4" w:fill="B8CCE4"/>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January</w:t>
            </w:r>
          </w:p>
        </w:tc>
        <w:tc>
          <w:tcPr>
            <w:tcW w:w="1549" w:type="dxa"/>
            <w:tcBorders>
              <w:top w:val="nil"/>
              <w:left w:val="nil"/>
              <w:bottom w:val="single" w:sz="4" w:space="0" w:color="FFFFFF"/>
              <w:right w:val="nil"/>
            </w:tcBorders>
            <w:shd w:val="clear" w:color="B8CCE4" w:fill="B8CCE4"/>
            <w:noWrap/>
            <w:vAlign w:val="bottom"/>
            <w:hideMark/>
          </w:tcPr>
          <w:p w:rsidR="00E4412F" w:rsidRPr="004376B6" w:rsidRDefault="00E4412F" w:rsidP="00E4412F">
            <w:pPr>
              <w:rPr>
                <w:rFonts w:ascii="Calibri" w:hAnsi="Calibri"/>
                <w:color w:val="000000"/>
              </w:rPr>
            </w:pPr>
            <w:r w:rsidRPr="004376B6">
              <w:rPr>
                <w:rFonts w:ascii="Calibri" w:hAnsi="Calibri"/>
                <w:color w:val="000000"/>
                <w:sz w:val="22"/>
                <w:szCs w:val="22"/>
              </w:rPr>
              <w:t xml:space="preserve"> $        </w:t>
            </w:r>
            <w:r w:rsidR="00E21BB6">
              <w:rPr>
                <w:rFonts w:ascii="Calibri" w:hAnsi="Calibri"/>
                <w:color w:val="000000"/>
                <w:sz w:val="22"/>
                <w:szCs w:val="22"/>
              </w:rPr>
              <w:t>324</w:t>
            </w:r>
            <w:r>
              <w:rPr>
                <w:rFonts w:ascii="Calibri" w:hAnsi="Calibri"/>
                <w:color w:val="000000"/>
                <w:sz w:val="22"/>
                <w:szCs w:val="22"/>
              </w:rPr>
              <w:t>.00</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DBE5F1" w:fill="DBE5F1"/>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February</w:t>
            </w:r>
          </w:p>
        </w:tc>
        <w:tc>
          <w:tcPr>
            <w:tcW w:w="1549" w:type="dxa"/>
            <w:tcBorders>
              <w:top w:val="nil"/>
              <w:left w:val="nil"/>
              <w:bottom w:val="single" w:sz="4" w:space="0" w:color="FFFFFF"/>
              <w:right w:val="nil"/>
            </w:tcBorders>
            <w:shd w:val="clear" w:color="DBE5F1" w:fill="DBE5F1"/>
            <w:noWrap/>
            <w:vAlign w:val="bottom"/>
            <w:hideMark/>
          </w:tcPr>
          <w:p w:rsidR="00E4412F" w:rsidRPr="004376B6" w:rsidRDefault="00E4412F" w:rsidP="00B172A7">
            <w:pPr>
              <w:rPr>
                <w:rFonts w:ascii="Calibri" w:hAnsi="Calibri"/>
                <w:color w:val="000000"/>
              </w:rPr>
            </w:pPr>
            <w:r>
              <w:rPr>
                <w:rFonts w:ascii="Calibri" w:hAnsi="Calibri"/>
                <w:color w:val="000000"/>
                <w:sz w:val="22"/>
                <w:szCs w:val="22"/>
              </w:rPr>
              <w:t xml:space="preserve"> $     </w:t>
            </w:r>
            <w:r w:rsidR="00B172A7">
              <w:rPr>
                <w:rFonts w:ascii="Calibri" w:hAnsi="Calibri"/>
                <w:color w:val="000000"/>
                <w:sz w:val="22"/>
                <w:szCs w:val="22"/>
              </w:rPr>
              <w:t xml:space="preserve">   </w:t>
            </w:r>
            <w:r w:rsidR="00E21BB6">
              <w:rPr>
                <w:rFonts w:ascii="Calibri" w:hAnsi="Calibri"/>
                <w:color w:val="000000"/>
                <w:sz w:val="22"/>
                <w:szCs w:val="22"/>
              </w:rPr>
              <w:t>918.0</w:t>
            </w:r>
            <w:r w:rsidR="00B172A7">
              <w:rPr>
                <w:rFonts w:ascii="Calibri" w:hAnsi="Calibri"/>
                <w:color w:val="000000"/>
                <w:sz w:val="22"/>
                <w:szCs w:val="22"/>
              </w:rPr>
              <w:t>0</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B8CCE4" w:fill="B8CCE4"/>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March</w:t>
            </w:r>
          </w:p>
        </w:tc>
        <w:tc>
          <w:tcPr>
            <w:tcW w:w="1549" w:type="dxa"/>
            <w:tcBorders>
              <w:top w:val="nil"/>
              <w:left w:val="nil"/>
              <w:bottom w:val="single" w:sz="4" w:space="0" w:color="FFFFFF"/>
              <w:right w:val="nil"/>
            </w:tcBorders>
            <w:shd w:val="clear" w:color="B8CCE4" w:fill="B8CCE4"/>
            <w:noWrap/>
            <w:vAlign w:val="bottom"/>
            <w:hideMark/>
          </w:tcPr>
          <w:p w:rsidR="00E4412F" w:rsidRPr="004376B6" w:rsidRDefault="00E4412F" w:rsidP="007E370E">
            <w:pPr>
              <w:rPr>
                <w:rFonts w:ascii="Calibri" w:hAnsi="Calibri"/>
                <w:color w:val="000000"/>
              </w:rPr>
            </w:pPr>
            <w:r>
              <w:rPr>
                <w:rFonts w:ascii="Calibri" w:hAnsi="Calibri"/>
                <w:color w:val="000000"/>
                <w:sz w:val="22"/>
                <w:szCs w:val="22"/>
              </w:rPr>
              <w:t xml:space="preserve"> $  </w:t>
            </w:r>
            <w:r w:rsidR="00E21BB6">
              <w:rPr>
                <w:rFonts w:ascii="Calibri" w:hAnsi="Calibri"/>
                <w:color w:val="000000"/>
                <w:sz w:val="22"/>
                <w:szCs w:val="22"/>
              </w:rPr>
              <w:t xml:space="preserve">   1,012.5</w:t>
            </w:r>
            <w:r>
              <w:rPr>
                <w:rFonts w:ascii="Calibri" w:hAnsi="Calibri"/>
                <w:color w:val="000000"/>
                <w:sz w:val="22"/>
                <w:szCs w:val="22"/>
              </w:rPr>
              <w:t>0</w:t>
            </w:r>
            <w:r w:rsidRPr="004376B6">
              <w:rPr>
                <w:rFonts w:ascii="Calibri" w:hAnsi="Calibri"/>
                <w:color w:val="000000"/>
                <w:sz w:val="22"/>
                <w:szCs w:val="22"/>
              </w:rPr>
              <w:t xml:space="preserve"> </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DBE5F1" w:fill="DBE5F1"/>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April</w:t>
            </w:r>
          </w:p>
        </w:tc>
        <w:tc>
          <w:tcPr>
            <w:tcW w:w="1549" w:type="dxa"/>
            <w:tcBorders>
              <w:top w:val="nil"/>
              <w:left w:val="nil"/>
              <w:bottom w:val="single" w:sz="4" w:space="0" w:color="FFFFFF"/>
              <w:right w:val="nil"/>
            </w:tcBorders>
            <w:shd w:val="clear" w:color="DBE5F1" w:fill="DBE5F1"/>
            <w:noWrap/>
            <w:vAlign w:val="bottom"/>
            <w:hideMark/>
          </w:tcPr>
          <w:p w:rsidR="00E4412F" w:rsidRPr="004376B6" w:rsidRDefault="00B172A7" w:rsidP="00583DFC">
            <w:pPr>
              <w:rPr>
                <w:rFonts w:ascii="Calibri" w:hAnsi="Calibri"/>
                <w:color w:val="000000"/>
              </w:rPr>
            </w:pPr>
            <w:r>
              <w:rPr>
                <w:rFonts w:ascii="Calibri" w:hAnsi="Calibri"/>
                <w:color w:val="000000"/>
                <w:sz w:val="22"/>
                <w:szCs w:val="22"/>
              </w:rPr>
              <w:t xml:space="preserve"> $     </w:t>
            </w:r>
            <w:r w:rsidR="00E21BB6">
              <w:rPr>
                <w:rFonts w:ascii="Calibri" w:hAnsi="Calibri"/>
                <w:color w:val="000000"/>
                <w:sz w:val="22"/>
                <w:szCs w:val="22"/>
              </w:rPr>
              <w:t>1,039.5</w:t>
            </w:r>
            <w:r w:rsidR="00583DFC">
              <w:rPr>
                <w:rFonts w:ascii="Calibri" w:hAnsi="Calibri"/>
                <w:color w:val="000000"/>
                <w:sz w:val="22"/>
                <w:szCs w:val="22"/>
              </w:rPr>
              <w:t>0</w:t>
            </w:r>
            <w:r w:rsidR="00E4412F" w:rsidRPr="004376B6">
              <w:rPr>
                <w:rFonts w:ascii="Calibri" w:hAnsi="Calibri"/>
                <w:color w:val="000000"/>
                <w:sz w:val="22"/>
                <w:szCs w:val="22"/>
              </w:rPr>
              <w:t xml:space="preserve"> </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B8CCE4" w:fill="B8CCE4"/>
            <w:noWrap/>
            <w:vAlign w:val="bottom"/>
            <w:hideMark/>
          </w:tcPr>
          <w:p w:rsidR="00E4412F" w:rsidRPr="004376B6" w:rsidRDefault="00E4412F" w:rsidP="007E370E">
            <w:pPr>
              <w:rPr>
                <w:rFonts w:ascii="Calibri" w:hAnsi="Calibri"/>
                <w:color w:val="000000"/>
              </w:rPr>
            </w:pPr>
            <w:r w:rsidRPr="004376B6">
              <w:rPr>
                <w:rFonts w:ascii="Calibri" w:hAnsi="Calibri"/>
                <w:color w:val="000000"/>
                <w:sz w:val="22"/>
                <w:szCs w:val="22"/>
              </w:rPr>
              <w:t>May</w:t>
            </w:r>
          </w:p>
        </w:tc>
        <w:tc>
          <w:tcPr>
            <w:tcW w:w="1549" w:type="dxa"/>
            <w:tcBorders>
              <w:top w:val="nil"/>
              <w:left w:val="nil"/>
              <w:bottom w:val="single" w:sz="4" w:space="0" w:color="FFFFFF"/>
              <w:right w:val="nil"/>
            </w:tcBorders>
            <w:shd w:val="clear" w:color="B8CCE4" w:fill="B8CCE4"/>
            <w:noWrap/>
            <w:vAlign w:val="bottom"/>
            <w:hideMark/>
          </w:tcPr>
          <w:p w:rsidR="00E4412F" w:rsidRPr="004376B6" w:rsidRDefault="00E4412F" w:rsidP="00583DFC">
            <w:pPr>
              <w:rPr>
                <w:rFonts w:ascii="Calibri" w:hAnsi="Calibri"/>
                <w:color w:val="000000"/>
              </w:rPr>
            </w:pPr>
            <w:r>
              <w:rPr>
                <w:rFonts w:ascii="Calibri" w:hAnsi="Calibri"/>
                <w:color w:val="000000"/>
                <w:sz w:val="22"/>
                <w:szCs w:val="22"/>
              </w:rPr>
              <w:t xml:space="preserve"> $    </w:t>
            </w:r>
            <w:r w:rsidR="00E21BB6">
              <w:rPr>
                <w:rFonts w:ascii="Calibri" w:hAnsi="Calibri"/>
                <w:color w:val="000000"/>
                <w:sz w:val="22"/>
                <w:szCs w:val="22"/>
              </w:rPr>
              <w:t xml:space="preserve"> 2,835.0</w:t>
            </w:r>
            <w:r>
              <w:rPr>
                <w:rFonts w:ascii="Calibri" w:hAnsi="Calibri"/>
                <w:color w:val="000000"/>
                <w:sz w:val="22"/>
                <w:szCs w:val="22"/>
              </w:rPr>
              <w:t>0</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DBE5F1" w:fill="DBE5F1"/>
            <w:noWrap/>
            <w:vAlign w:val="bottom"/>
            <w:hideMark/>
          </w:tcPr>
          <w:p w:rsidR="00E4412F" w:rsidRPr="00E4412F" w:rsidRDefault="00E4412F" w:rsidP="007E370E">
            <w:pPr>
              <w:rPr>
                <w:rFonts w:ascii="Calibri" w:hAnsi="Calibri"/>
                <w:color w:val="000000"/>
              </w:rPr>
            </w:pPr>
            <w:r w:rsidRPr="00E4412F">
              <w:rPr>
                <w:rFonts w:ascii="Calibri" w:hAnsi="Calibri"/>
                <w:color w:val="000000"/>
                <w:sz w:val="22"/>
                <w:szCs w:val="22"/>
              </w:rPr>
              <w:t>June</w:t>
            </w:r>
          </w:p>
        </w:tc>
        <w:tc>
          <w:tcPr>
            <w:tcW w:w="1549" w:type="dxa"/>
            <w:tcBorders>
              <w:top w:val="nil"/>
              <w:left w:val="nil"/>
              <w:bottom w:val="single" w:sz="4" w:space="0" w:color="FFFFFF"/>
              <w:right w:val="nil"/>
            </w:tcBorders>
            <w:shd w:val="clear" w:color="DBE5F1" w:fill="DBE5F1"/>
            <w:noWrap/>
            <w:vAlign w:val="bottom"/>
            <w:hideMark/>
          </w:tcPr>
          <w:p w:rsidR="00E4412F" w:rsidRPr="00E4412F" w:rsidRDefault="00E4412F" w:rsidP="00583DFC">
            <w:pPr>
              <w:rPr>
                <w:rFonts w:ascii="Calibri" w:hAnsi="Calibri"/>
                <w:iCs/>
                <w:color w:val="000000"/>
              </w:rPr>
            </w:pPr>
            <w:r w:rsidRPr="00E4412F">
              <w:rPr>
                <w:rFonts w:ascii="Calibri" w:hAnsi="Calibri"/>
                <w:iCs/>
                <w:color w:val="000000"/>
                <w:sz w:val="22"/>
                <w:szCs w:val="22"/>
              </w:rPr>
              <w:t xml:space="preserve"> $    </w:t>
            </w:r>
            <w:r w:rsidR="00E21BB6">
              <w:rPr>
                <w:rFonts w:ascii="Calibri" w:hAnsi="Calibri"/>
                <w:iCs/>
                <w:color w:val="000000"/>
                <w:sz w:val="22"/>
                <w:szCs w:val="22"/>
              </w:rPr>
              <w:t>2,794.5</w:t>
            </w:r>
            <w:r w:rsidRPr="00E4412F">
              <w:rPr>
                <w:rFonts w:ascii="Calibri" w:hAnsi="Calibri"/>
                <w:iCs/>
                <w:color w:val="000000"/>
                <w:sz w:val="22"/>
                <w:szCs w:val="22"/>
              </w:rPr>
              <w:t>0</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B8CCE4" w:fill="B8CCE4"/>
            <w:noWrap/>
            <w:vAlign w:val="bottom"/>
            <w:hideMark/>
          </w:tcPr>
          <w:p w:rsidR="00E4412F" w:rsidRPr="004376B6" w:rsidRDefault="00E4412F" w:rsidP="007E370E">
            <w:pPr>
              <w:rPr>
                <w:rFonts w:ascii="Calibri" w:hAnsi="Calibri"/>
                <w:b/>
                <w:bCs/>
                <w:color w:val="000000"/>
              </w:rPr>
            </w:pPr>
            <w:r w:rsidRPr="004376B6">
              <w:rPr>
                <w:rFonts w:ascii="Calibri" w:hAnsi="Calibri"/>
                <w:b/>
                <w:bCs/>
                <w:color w:val="000000"/>
                <w:sz w:val="22"/>
                <w:szCs w:val="22"/>
              </w:rPr>
              <w:t>Net Total</w:t>
            </w:r>
          </w:p>
        </w:tc>
        <w:tc>
          <w:tcPr>
            <w:tcW w:w="1549" w:type="dxa"/>
            <w:tcBorders>
              <w:top w:val="nil"/>
              <w:left w:val="nil"/>
              <w:bottom w:val="single" w:sz="4" w:space="0" w:color="FFFFFF"/>
              <w:right w:val="nil"/>
            </w:tcBorders>
            <w:shd w:val="clear" w:color="B8CCE4" w:fill="B8CCE4"/>
            <w:noWrap/>
            <w:vAlign w:val="bottom"/>
            <w:hideMark/>
          </w:tcPr>
          <w:p w:rsidR="00E4412F" w:rsidRPr="004376B6" w:rsidRDefault="00583DFC" w:rsidP="00E21BB6">
            <w:pPr>
              <w:rPr>
                <w:rFonts w:ascii="Calibri" w:hAnsi="Calibri"/>
                <w:color w:val="000000"/>
              </w:rPr>
            </w:pPr>
            <w:r>
              <w:rPr>
                <w:rFonts w:ascii="Calibri" w:hAnsi="Calibri"/>
                <w:color w:val="000000"/>
                <w:sz w:val="22"/>
                <w:szCs w:val="22"/>
              </w:rPr>
              <w:t xml:space="preserve"> $  14,</w:t>
            </w:r>
            <w:r w:rsidR="00E21BB6">
              <w:rPr>
                <w:rFonts w:ascii="Calibri" w:hAnsi="Calibri"/>
                <w:color w:val="000000"/>
                <w:sz w:val="22"/>
                <w:szCs w:val="22"/>
              </w:rPr>
              <w:t>917</w:t>
            </w:r>
            <w:r>
              <w:rPr>
                <w:rFonts w:ascii="Calibri" w:hAnsi="Calibri"/>
                <w:color w:val="000000"/>
                <w:sz w:val="22"/>
                <w:szCs w:val="22"/>
              </w:rPr>
              <w:t>.00</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DBE5F1" w:fill="DBE5F1"/>
            <w:noWrap/>
            <w:vAlign w:val="bottom"/>
            <w:hideMark/>
          </w:tcPr>
          <w:p w:rsidR="00E4412F" w:rsidRPr="00E4412F" w:rsidRDefault="00E4412F" w:rsidP="007E370E">
            <w:pPr>
              <w:rPr>
                <w:rFonts w:ascii="Calibri" w:hAnsi="Calibri"/>
                <w:b/>
                <w:bCs/>
                <w:color w:val="000000"/>
              </w:rPr>
            </w:pPr>
            <w:r w:rsidRPr="00E4412F">
              <w:rPr>
                <w:rFonts w:ascii="Calibri" w:hAnsi="Calibri"/>
                <w:b/>
                <w:bCs/>
                <w:color w:val="000000"/>
                <w:sz w:val="22"/>
                <w:szCs w:val="22"/>
              </w:rPr>
              <w:t>Landfill Costs</w:t>
            </w:r>
          </w:p>
        </w:tc>
        <w:tc>
          <w:tcPr>
            <w:tcW w:w="1549" w:type="dxa"/>
            <w:tcBorders>
              <w:top w:val="nil"/>
              <w:left w:val="nil"/>
              <w:bottom w:val="single" w:sz="4" w:space="0" w:color="FFFFFF"/>
              <w:right w:val="nil"/>
            </w:tcBorders>
            <w:shd w:val="clear" w:color="DBE5F1" w:fill="DBE5F1"/>
            <w:noWrap/>
            <w:vAlign w:val="bottom"/>
            <w:hideMark/>
          </w:tcPr>
          <w:p w:rsidR="00E4412F" w:rsidRPr="00E4412F" w:rsidRDefault="00E4412F" w:rsidP="00E4412F">
            <w:pPr>
              <w:rPr>
                <w:rFonts w:ascii="Calibri" w:hAnsi="Calibri"/>
                <w:iCs/>
                <w:color w:val="000000"/>
              </w:rPr>
            </w:pPr>
            <w:r w:rsidRPr="00E4412F">
              <w:rPr>
                <w:rFonts w:ascii="Calibri" w:hAnsi="Calibri"/>
                <w:iCs/>
                <w:color w:val="000000"/>
                <w:sz w:val="22"/>
                <w:szCs w:val="22"/>
              </w:rPr>
              <w:t xml:space="preserve"> $  </w:t>
            </w:r>
            <w:r w:rsidR="00583DFC">
              <w:rPr>
                <w:rFonts w:ascii="Calibri" w:hAnsi="Calibri"/>
                <w:iCs/>
                <w:color w:val="000000"/>
                <w:sz w:val="22"/>
                <w:szCs w:val="22"/>
              </w:rPr>
              <w:t xml:space="preserve"> </w:t>
            </w:r>
            <w:r w:rsidRPr="00E4412F">
              <w:rPr>
                <w:rFonts w:ascii="Calibri" w:hAnsi="Calibri"/>
                <w:iCs/>
                <w:color w:val="000000"/>
                <w:sz w:val="22"/>
                <w:szCs w:val="22"/>
              </w:rPr>
              <w:t xml:space="preserve"> 1,200.00 </w:t>
            </w:r>
          </w:p>
        </w:tc>
      </w:tr>
      <w:tr w:rsidR="00E4412F" w:rsidRPr="004376B6" w:rsidTr="00E4412F">
        <w:trPr>
          <w:trHeight w:val="305"/>
        </w:trPr>
        <w:tc>
          <w:tcPr>
            <w:tcW w:w="2268" w:type="dxa"/>
            <w:tcBorders>
              <w:top w:val="nil"/>
              <w:left w:val="nil"/>
              <w:bottom w:val="single" w:sz="4" w:space="0" w:color="FFFFFF"/>
              <w:right w:val="single" w:sz="4" w:space="0" w:color="FFFFFF"/>
            </w:tcBorders>
            <w:shd w:val="clear" w:color="B8CCE4" w:fill="B8CCE4"/>
            <w:noWrap/>
            <w:vAlign w:val="bottom"/>
            <w:hideMark/>
          </w:tcPr>
          <w:p w:rsidR="00E4412F" w:rsidRPr="004376B6" w:rsidRDefault="00E4412F" w:rsidP="007E370E">
            <w:pPr>
              <w:rPr>
                <w:rFonts w:ascii="Calibri" w:hAnsi="Calibri"/>
                <w:b/>
                <w:bCs/>
                <w:color w:val="000000"/>
              </w:rPr>
            </w:pPr>
            <w:r w:rsidRPr="004376B6">
              <w:rPr>
                <w:rFonts w:ascii="Calibri" w:hAnsi="Calibri"/>
                <w:b/>
                <w:bCs/>
                <w:color w:val="000000"/>
                <w:sz w:val="22"/>
                <w:szCs w:val="22"/>
              </w:rPr>
              <w:t>Total</w:t>
            </w:r>
          </w:p>
        </w:tc>
        <w:tc>
          <w:tcPr>
            <w:tcW w:w="1549" w:type="dxa"/>
            <w:tcBorders>
              <w:top w:val="nil"/>
              <w:left w:val="nil"/>
              <w:bottom w:val="single" w:sz="4" w:space="0" w:color="FFFFFF"/>
              <w:right w:val="nil"/>
            </w:tcBorders>
            <w:shd w:val="clear" w:color="B8CCE4" w:fill="B8CCE4"/>
            <w:noWrap/>
            <w:vAlign w:val="bottom"/>
            <w:hideMark/>
          </w:tcPr>
          <w:p w:rsidR="00E4412F" w:rsidRPr="004376B6" w:rsidRDefault="00583DFC" w:rsidP="00E21BB6">
            <w:pPr>
              <w:rPr>
                <w:rFonts w:ascii="Calibri" w:hAnsi="Calibri"/>
                <w:color w:val="000000"/>
              </w:rPr>
            </w:pPr>
            <w:r>
              <w:rPr>
                <w:rFonts w:ascii="Calibri" w:hAnsi="Calibri"/>
                <w:color w:val="000000"/>
                <w:sz w:val="22"/>
                <w:szCs w:val="22"/>
              </w:rPr>
              <w:t xml:space="preserve"> $  1</w:t>
            </w:r>
            <w:r w:rsidR="00E21BB6">
              <w:rPr>
                <w:rFonts w:ascii="Calibri" w:hAnsi="Calibri"/>
                <w:color w:val="000000"/>
                <w:sz w:val="22"/>
                <w:szCs w:val="22"/>
              </w:rPr>
              <w:t>6,117</w:t>
            </w:r>
            <w:r>
              <w:rPr>
                <w:rFonts w:ascii="Calibri" w:hAnsi="Calibri"/>
                <w:color w:val="000000"/>
                <w:sz w:val="22"/>
                <w:szCs w:val="22"/>
              </w:rPr>
              <w:t>.00</w:t>
            </w:r>
          </w:p>
        </w:tc>
      </w:tr>
    </w:tbl>
    <w:p w:rsidR="0065470C" w:rsidRDefault="0016249B" w:rsidP="00277858">
      <w:pPr>
        <w:pStyle w:val="NoSpacing"/>
      </w:pPr>
      <w:r w:rsidRPr="0016249B">
        <w:rPr>
          <w:noProof/>
        </w:rPr>
        <w:drawing>
          <wp:inline distT="0" distB="0" distL="0" distR="0">
            <wp:extent cx="3773434" cy="3253839"/>
            <wp:effectExtent l="19050" t="0" r="17516" b="3711"/>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65470C" w:rsidRDefault="0065470C" w:rsidP="00277858">
      <w:pPr>
        <w:pStyle w:val="NoSpacing"/>
      </w:pPr>
    </w:p>
    <w:p w:rsidR="0065470C" w:rsidRDefault="0065470C" w:rsidP="00277858">
      <w:pPr>
        <w:pStyle w:val="NoSpacing"/>
      </w:pPr>
      <w:proofErr w:type="gramStart"/>
      <w:r>
        <w:t>Table 1.</w:t>
      </w:r>
      <w:proofErr w:type="gramEnd"/>
      <w:r>
        <w:t xml:space="preserve">                                                     </w:t>
      </w:r>
      <w:proofErr w:type="gramStart"/>
      <w:r>
        <w:t>Figure 1.</w:t>
      </w:r>
      <w:proofErr w:type="gramEnd"/>
    </w:p>
    <w:p w:rsidR="0065470C" w:rsidRDefault="0065470C" w:rsidP="00277858">
      <w:pPr>
        <w:pStyle w:val="NoSpacing"/>
      </w:pPr>
    </w:p>
    <w:p w:rsidR="0065470C" w:rsidRDefault="0065470C" w:rsidP="00277858">
      <w:pPr>
        <w:pStyle w:val="NoSpacing"/>
      </w:pPr>
    </w:p>
    <w:p w:rsidR="0065470C" w:rsidRDefault="0065470C" w:rsidP="00277858">
      <w:pPr>
        <w:pStyle w:val="NoSpacing"/>
      </w:pPr>
    </w:p>
    <w:p w:rsidR="0065470C" w:rsidRDefault="0065470C" w:rsidP="00277858">
      <w:pPr>
        <w:pStyle w:val="NoSpacing"/>
      </w:pPr>
    </w:p>
    <w:p w:rsidR="0065470C" w:rsidRDefault="0065470C" w:rsidP="00277858">
      <w:pPr>
        <w:pStyle w:val="NoSpacing"/>
      </w:pPr>
    </w:p>
    <w:p w:rsidR="0065470C" w:rsidRDefault="0065470C" w:rsidP="00277858">
      <w:pPr>
        <w:pStyle w:val="NoSpacing"/>
      </w:pPr>
    </w:p>
    <w:p w:rsidR="0065470C" w:rsidRDefault="0065470C" w:rsidP="00277858">
      <w:pPr>
        <w:pStyle w:val="NoSpacing"/>
      </w:pPr>
    </w:p>
    <w:p w:rsidR="006C5CDE" w:rsidRDefault="006C5CDE" w:rsidP="00277858">
      <w:pPr>
        <w:pStyle w:val="NoSpacing"/>
      </w:pPr>
    </w:p>
    <w:p w:rsidR="006C5CDE" w:rsidRDefault="006C5CDE" w:rsidP="00277858">
      <w:pPr>
        <w:pStyle w:val="NoSpacing"/>
      </w:pPr>
    </w:p>
    <w:p w:rsidR="006C5CDE" w:rsidRDefault="004B3BD2" w:rsidP="00277858">
      <w:pPr>
        <w:pStyle w:val="NoSpacing"/>
      </w:pPr>
      <w:r>
        <w:rPr>
          <w:noProof/>
        </w:rPr>
        <w:pict>
          <v:group id="_x0000_s1038" style="position:absolute;margin-left:-6.75pt;margin-top:-53.15pt;width:481.5pt;height:645.35pt;z-index:251659264" coordorigin="1070419,1053846" coordsize="61150,83439">
            <v:rect id="_x0000_s1039" style="position:absolute;left:1070419;top:1053846;width:61151;height:83439;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Livestock Conflicts" croptop="1998f" cropbottom="1998f" cropleft="5171f" cropright="5030f"/>
              <v:shadow color="#ccc"/>
              <v:path o:extrusionok="f"/>
              <o:lock v:ext="edit" aspectratio="t"/>
            </v:rect>
            <v:oval id="_x0000_s1040" style="position:absolute;left:1104741;top:1055197;width:11485;height:36560;rotation:-1180139fd;mso-wrap-distance-left:2.88pt;mso-wrap-distance-top:2.88pt;mso-wrap-distance-right:2.88pt;mso-wrap-distance-bottom:2.88pt" filled="f" strokecolor="white" strokeweight="3pt" insetpen="t" o:cliptowrap="t">
              <v:stroke>
                <o:left v:ext="view" color="black [0]"/>
                <o:top v:ext="view" color="black [0]"/>
                <o:right v:ext="view" color="black [0]"/>
                <o:bottom v:ext="view" color="black [0]"/>
                <o:column v:ext="view" color="black [0]"/>
              </v:stroke>
              <v:shadow color="#ccc"/>
              <v:textbox inset="2.88pt,2.88pt,2.88pt,2.88pt"/>
            </v:oval>
            <v:oval id="_x0000_s1041" style="position:absolute;left:1075493;top:1064193;width:28608;height:12353;rotation:2459687fd;mso-wrap-distance-left:2.88pt;mso-wrap-distance-top:2.88pt;mso-wrap-distance-right:2.88pt;mso-wrap-distance-bottom:2.88pt" filled="f" strokecolor="white" strokeweight="3pt" insetpen="t" o:cliptowrap="t">
              <v:stroke>
                <o:left v:ext="view" color="black [0]"/>
                <o:top v:ext="view" color="black [0]"/>
                <o:right v:ext="view" color="black [0]"/>
                <o:bottom v:ext="view" color="black [0]"/>
                <o:column v:ext="view" color="black [0]"/>
              </v:stroke>
              <v:shadow color="#ccc"/>
              <v:textbox inset="2.88pt,2.88pt,2.88pt,2.88pt"/>
            </v:oval>
            <v:oval id="_x0000_s1042" style="position:absolute;left:1091535;top:1092309;width:12573;height:3805;rotation:-982299fd;mso-wrap-distance-left:2.88pt;mso-wrap-distance-top:2.88pt;mso-wrap-distance-right:2.88pt;mso-wrap-distance-bottom:2.88pt" filled="f" strokecolor="white" strokeweight="3pt" insetpen="t" o:cliptowrap="t">
              <v:stroke>
                <o:left v:ext="view" color="black [0]"/>
                <o:top v:ext="view" color="black [0]"/>
                <o:right v:ext="view" color="black [0]"/>
                <o:bottom v:ext="view" color="black [0]"/>
                <o:column v:ext="view" color="black [0]"/>
              </v:stroke>
              <v:shadow color="#ccc"/>
              <v:textbox inset="2.88pt,2.88pt,2.88pt,2.88pt"/>
            </v:oval>
            <v:oval id="_x0000_s1043" style="position:absolute;left:1082254;top:1101811;width:33334;height:8791;rotation:-2871154fd;mso-wrap-distance-left:2.88pt;mso-wrap-distance-top:2.88pt;mso-wrap-distance-right:2.88pt;mso-wrap-distance-bottom:2.88pt" filled="f" strokecolor="white" strokeweight="3pt" insetpen="t" o:cliptowrap="t">
              <v:stroke>
                <o:left v:ext="view" color="black [0]"/>
                <o:top v:ext="view" color="black [0]"/>
                <o:right v:ext="view" color="black [0]"/>
                <o:bottom v:ext="view" color="black [0]"/>
                <o:column v:ext="view" color="black [0]"/>
              </v:stroke>
              <v:shadow color="#ccc"/>
              <v:textbox inset="2.88pt,2.88pt,2.88pt,2.88pt"/>
            </v:oval>
            <v:oval id="_x0000_s1044" style="position:absolute;left:1107039;top:1119513;width:20923;height:11269;rotation:-3552224fd;mso-wrap-distance-left:2.88pt;mso-wrap-distance-top:2.88pt;mso-wrap-distance-right:2.88pt;mso-wrap-distance-bottom:2.88pt" filled="f" strokecolor="white" strokeweight="3pt" insetpen="t" o:cliptowrap="t">
              <v:stroke>
                <o:left v:ext="view" color="black [0]"/>
                <o:top v:ext="view" color="black [0]"/>
                <o:right v:ext="view" color="black [0]"/>
                <o:bottom v:ext="view" color="black [0]"/>
                <o:column v:ext="view" color="black [0]"/>
              </v:stroke>
              <v:shadow color="#ccc"/>
              <v:textbox inset="2.88pt,2.88pt,2.88pt,2.88pt"/>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1093851;top:1119405;width:18573;height:2438;mso-wrap-distance-left:2.88pt;mso-wrap-distance-top:2.88pt;mso-wrap-distance-right:2.88pt;mso-wrap-distance-bottom:2.88pt" o:cliptowrap="t">
              <v:stroke>
                <o:left v:ext="view" color="black [0]"/>
                <o:top v:ext="view" color="black [0]"/>
                <o:right v:ext="view" color="black [0]"/>
                <o:bottom v:ext="view" color="black [0]"/>
                <o:column v:ext="view" color="black [0]"/>
              </v:stroke>
              <v:shadow color="#868686"/>
              <v:textpath style="font-family:&quot;Arial Black&quot;;font-size:14pt;v-text-kern:t" trim="t" fitpath="t" string="West of Meeteetse Area"/>
            </v:shape>
            <v:shape id="_x0000_s1046" type="#_x0000_t136" style="position:absolute;left:1076134;top:1103692;width:16097;height:2438;mso-wrap-distance-left:2.88pt;mso-wrap-distance-top:2.88pt;mso-wrap-distance-right:2.88pt;mso-wrap-distance-bottom:2.88pt" o:cliptowrap="t">
              <v:stroke>
                <o:left v:ext="view" color="black [0]"/>
                <o:top v:ext="view" color="black [0]"/>
                <o:right v:ext="view" color="black [0]"/>
                <o:bottom v:ext="view" color="black [0]"/>
                <o:column v:ext="view" color="black [0]"/>
              </v:stroke>
              <v:shadow color="#868686"/>
              <v:textpath style="font-family:&quot;Arial Black&quot;;font-size:14pt;v-text-kern:t" trim="t" fitpath="t" string="South Fork Area"/>
            </v:shape>
            <v:shape id="_x0000_s1047" type="#_x0000_t136" style="position:absolute;left:1078420;top:1090689;width:15812;height:2438;mso-wrap-distance-left:2.88pt;mso-wrap-distance-top:2.88pt;mso-wrap-distance-right:2.88pt;mso-wrap-distance-bottom:2.88pt" o:cliptowrap="t">
              <v:stroke>
                <o:left v:ext="view" color="black [0]"/>
                <o:top v:ext="view" color="black [0]"/>
                <o:right v:ext="view" color="black [0]"/>
                <o:bottom v:ext="view" color="black [0]"/>
                <o:column v:ext="view" color="black [0]"/>
              </v:stroke>
              <v:shadow color="#868686"/>
              <v:textpath style="font-family:&quot;Arial Black&quot;;font-size:14pt;v-text-kern:t" trim="t" fitpath="t" string="North Fork Area"/>
            </v:shape>
            <v:shape id="_x0000_s1048" type="#_x0000_t136" style="position:absolute;left:1074420;top:1079311;width:22193;height:2438;mso-wrap-distance-left:2.88pt;mso-wrap-distance-top:2.88pt;mso-wrap-distance-right:2.88pt;mso-wrap-distance-bottom:2.88pt" o:cliptowrap="t">
              <v:stroke>
                <o:left v:ext="view" color="black [0]"/>
                <o:top v:ext="view" color="black [0]"/>
                <o:right v:ext="view" color="black [0]"/>
                <o:bottom v:ext="view" color="black [0]"/>
                <o:column v:ext="view" color="black [0]"/>
              </v:stroke>
              <v:shadow color="#868686"/>
              <v:textpath style="font-family:&quot;Arial Black&quot;;font-size:14pt;v-text-kern:t" trim="t" fitpath="t" string="Sunlight/Crandall Area"/>
            </v:shape>
            <v:shape id="_x0000_s1049" type="#_x0000_t136" style="position:absolute;left:1107567;top:1056555;width:22098;height:2438;mso-wrap-distance-left:2.88pt;mso-wrap-distance-top:2.88pt;mso-wrap-distance-right:2.88pt;mso-wrap-distance-bottom:2.88pt" o:cliptowrap="t">
              <v:stroke>
                <o:left v:ext="view" color="black [0]"/>
                <o:top v:ext="view" color="black [0]"/>
                <o:right v:ext="view" color="black [0]"/>
                <o:bottom v:ext="view" color="black [0]"/>
                <o:column v:ext="view" color="black [0]"/>
              </v:stroke>
              <v:shadow color="#868686"/>
              <v:textpath style="font-family:&quot;Arial Black&quot;;font-size:14pt;v-text-kern:t" trim="t" fitpath="t" string="North Cody/Clark Area"/>
            </v:shape>
          </v:group>
        </w:pict>
      </w:r>
      <w:r w:rsidR="006C5CDE">
        <w:t xml:space="preserve">                                                                                                                                                                    </w:t>
      </w: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C5CDE" w:rsidRDefault="006C5CDE" w:rsidP="00277858">
      <w:pPr>
        <w:pStyle w:val="NoSpacing"/>
      </w:pPr>
    </w:p>
    <w:p w:rsidR="0065470C" w:rsidRPr="00277858" w:rsidRDefault="006C5CDE" w:rsidP="00277858">
      <w:pPr>
        <w:pStyle w:val="NoSpacing"/>
      </w:pPr>
      <w:r>
        <w:t xml:space="preserve">Figure 2.                                                                                                                                                                                                                                                                                                                                                                                                                                                                                                                                                                                                                                                                                                                                                                                                                                                                                                                                                                                                                                                                                                                                                                                                                                                                                                                                      </w:t>
      </w:r>
    </w:p>
    <w:sectPr w:rsidR="0065470C" w:rsidRPr="00277858" w:rsidSect="00EC4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7858"/>
    <w:rsid w:val="0016249B"/>
    <w:rsid w:val="00277858"/>
    <w:rsid w:val="003B42A4"/>
    <w:rsid w:val="004A06DB"/>
    <w:rsid w:val="004B3BD2"/>
    <w:rsid w:val="004D4B34"/>
    <w:rsid w:val="00583DFC"/>
    <w:rsid w:val="0065470C"/>
    <w:rsid w:val="006953D0"/>
    <w:rsid w:val="006C5CDE"/>
    <w:rsid w:val="00A679AB"/>
    <w:rsid w:val="00B172A7"/>
    <w:rsid w:val="00B24BED"/>
    <w:rsid w:val="00C03BA8"/>
    <w:rsid w:val="00C80032"/>
    <w:rsid w:val="00CC41F2"/>
    <w:rsid w:val="00E21BB6"/>
    <w:rsid w:val="00E4412F"/>
    <w:rsid w:val="00EC433F"/>
    <w:rsid w:val="00F97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85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249B"/>
    <w:rPr>
      <w:rFonts w:ascii="Tahoma" w:hAnsi="Tahoma" w:cs="Tahoma"/>
      <w:sz w:val="16"/>
      <w:szCs w:val="16"/>
    </w:rPr>
  </w:style>
  <w:style w:type="character" w:customStyle="1" w:styleId="BalloonTextChar">
    <w:name w:val="Balloon Text Char"/>
    <w:basedOn w:val="DefaultParagraphFont"/>
    <w:link w:val="BalloonText"/>
    <w:uiPriority w:val="99"/>
    <w:semiHidden/>
    <w:rsid w:val="0016249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Carcass%20Management%20Program\Updates\Budget%20and%20Animals%20picked%20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Carcasses Retrieved Per Year</a:t>
            </a:r>
          </a:p>
        </c:rich>
      </c:tx>
      <c:layout/>
    </c:title>
    <c:plotArea>
      <c:layout/>
      <c:barChart>
        <c:barDir val="col"/>
        <c:grouping val="clustered"/>
        <c:ser>
          <c:idx val="0"/>
          <c:order val="0"/>
          <c:spPr>
            <a:scene3d>
              <a:camera prst="orthographicFront"/>
              <a:lightRig rig="threePt" dir="t"/>
            </a:scene3d>
            <a:sp3d>
              <a:bevelB/>
            </a:sp3d>
          </c:spPr>
          <c:dLbls>
            <c:dLblPos val="outEnd"/>
            <c:showVal val="1"/>
          </c:dLbls>
          <c:cat>
            <c:numRef>
              <c:f>Sheet2!$B$2:$G$2</c:f>
              <c:numCache>
                <c:formatCode>General</c:formatCode>
                <c:ptCount val="6"/>
                <c:pt idx="0">
                  <c:v>2008</c:v>
                </c:pt>
                <c:pt idx="1">
                  <c:v>2009</c:v>
                </c:pt>
                <c:pt idx="2">
                  <c:v>2010</c:v>
                </c:pt>
                <c:pt idx="3">
                  <c:v>2011</c:v>
                </c:pt>
                <c:pt idx="4">
                  <c:v>2012</c:v>
                </c:pt>
                <c:pt idx="5">
                  <c:v>2013</c:v>
                </c:pt>
              </c:numCache>
            </c:numRef>
          </c:cat>
          <c:val>
            <c:numRef>
              <c:f>Sheet2!$B$3:$G$3</c:f>
              <c:numCache>
                <c:formatCode>General</c:formatCode>
                <c:ptCount val="6"/>
                <c:pt idx="0">
                  <c:v>26</c:v>
                </c:pt>
                <c:pt idx="1">
                  <c:v>58</c:v>
                </c:pt>
                <c:pt idx="2">
                  <c:v>52</c:v>
                </c:pt>
                <c:pt idx="3">
                  <c:v>58</c:v>
                </c:pt>
                <c:pt idx="4">
                  <c:v>137</c:v>
                </c:pt>
                <c:pt idx="5">
                  <c:v>175</c:v>
                </c:pt>
              </c:numCache>
            </c:numRef>
          </c:val>
        </c:ser>
        <c:axId val="40827904"/>
        <c:axId val="71402240"/>
      </c:barChart>
      <c:catAx>
        <c:axId val="40827904"/>
        <c:scaling>
          <c:orientation val="minMax"/>
        </c:scaling>
        <c:axPos val="b"/>
        <c:numFmt formatCode="General" sourceLinked="1"/>
        <c:tickLblPos val="nextTo"/>
        <c:crossAx val="71402240"/>
        <c:crosses val="autoZero"/>
        <c:auto val="1"/>
        <c:lblAlgn val="ctr"/>
        <c:lblOffset val="100"/>
      </c:catAx>
      <c:valAx>
        <c:axId val="71402240"/>
        <c:scaling>
          <c:orientation val="minMax"/>
        </c:scaling>
        <c:axPos val="l"/>
        <c:majorGridlines/>
        <c:numFmt formatCode="General" sourceLinked="1"/>
        <c:tickLblPos val="nextTo"/>
        <c:crossAx val="40827904"/>
        <c:crosses val="autoZero"/>
        <c:crossBetween val="between"/>
      </c:valAx>
    </c:plotArea>
    <c:plotVisOnly val="1"/>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dullasset</dc:creator>
  <cp:lastModifiedBy>TSIntern</cp:lastModifiedBy>
  <cp:revision>2</cp:revision>
  <dcterms:created xsi:type="dcterms:W3CDTF">2014-06-16T19:47:00Z</dcterms:created>
  <dcterms:modified xsi:type="dcterms:W3CDTF">2014-06-16T19:47:00Z</dcterms:modified>
</cp:coreProperties>
</file>